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C16B" w14:textId="0913314A" w:rsidR="00D5680F" w:rsidRDefault="00C23A17" w:rsidP="00D5680F">
      <w:pPr>
        <w:rPr>
          <w:rFonts w:cstheme="minorHAnsi"/>
          <w:b/>
          <w:bCs/>
          <w:color w:val="C3001E"/>
          <w:sz w:val="32"/>
          <w:szCs w:val="32"/>
          <w:lang w:val="it-IT"/>
        </w:rPr>
      </w:pPr>
      <w:r w:rsidRPr="00C23A17">
        <w:rPr>
          <w:rFonts w:cstheme="minorHAnsi"/>
          <w:b/>
          <w:bCs/>
          <w:color w:val="C3001E"/>
          <w:sz w:val="32"/>
          <w:szCs w:val="32"/>
          <w:lang w:val="it-IT"/>
        </w:rPr>
        <w:t>ARTICOLO DI STAMPA</w:t>
      </w:r>
    </w:p>
    <w:p w14:paraId="40569C14" w14:textId="77777777" w:rsidR="00C23A17" w:rsidRPr="00D5680F" w:rsidRDefault="00C23A17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Default="00D734CE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</w:p>
    <w:p w14:paraId="64C11E06" w14:textId="2266F563" w:rsidR="00C23A17" w:rsidRDefault="00C23A17" w:rsidP="00C23A17">
      <w:pPr>
        <w:spacing w:after="160" w:line="259" w:lineRule="auto"/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Mex, Svizzera, </w:t>
      </w:r>
      <w:r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>2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 Giugno 2022</w:t>
      </w:r>
    </w:p>
    <w:p w14:paraId="62E097DA" w14:textId="77777777" w:rsidR="00C23A17" w:rsidRPr="00C23A17" w:rsidRDefault="00C23A17" w:rsidP="00C23A17">
      <w:pPr>
        <w:spacing w:after="160" w:line="259" w:lineRule="auto"/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</w:pPr>
    </w:p>
    <w:p w14:paraId="285D67E1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6A01D5"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  <w:t>Autore:</w:t>
      </w:r>
      <w:r w:rsidRPr="006A01D5">
        <w:rPr>
          <w:rFonts w:asciiTheme="minorHAnsi" w:eastAsia="Calibri" w:hAnsiTheme="minorHAnsi" w:cstheme="minorHAnsi"/>
          <w:sz w:val="20"/>
          <w:szCs w:val="20"/>
          <w:lang w:val="it-IT"/>
        </w:rPr>
        <w:t xml:space="preserve"> Stelios Manousakis, Direttore BOBST Digital Technology  </w:t>
      </w:r>
    </w:p>
    <w:p w14:paraId="5FA9BD2C" w14:textId="77777777" w:rsidR="00C23A17" w:rsidRPr="00C23A17" w:rsidRDefault="00C23A17" w:rsidP="00C23A17">
      <w:pPr>
        <w:spacing w:after="160" w:line="259" w:lineRule="auto"/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</w:pPr>
    </w:p>
    <w:p w14:paraId="0DCB1788" w14:textId="77777777" w:rsidR="00C23A17" w:rsidRPr="00C23A17" w:rsidRDefault="00C23A17" w:rsidP="00C23A17">
      <w:pPr>
        <w:spacing w:after="160" w:line="259" w:lineRule="auto"/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Stampa inket BOBST. Un cluster di stampa che sta cambiando la produzione di etichette </w:t>
      </w:r>
    </w:p>
    <w:p w14:paraId="43526804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Compatto, affidabile, connesso, scalabile, sostenibile. Questa la mia personale classifica di requisiti alla base di qualsiasi scelta tecnologica oggi giorno! Dall’aspirapolvere all’auto!</w:t>
      </w:r>
    </w:p>
    <w:p w14:paraId="4B6D305A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E più la scelta è high tech, più queste parole devono diventare realtà. Questi criteri sono sostanzialmente inseparabili e fondamento necessario per innovazioni sostenibili e di successo. </w:t>
      </w:r>
    </w:p>
    <w:p w14:paraId="36E4D0CD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BOBST ha sviluppato il Cluster proprio sulla base di questi principi.</w:t>
      </w:r>
    </w:p>
    <w:p w14:paraId="032B15BA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Per la prima volta nella storia dell’inkjet, siamo di fronte ad un dispositvo di stamoa compatto ed efficace che sfrutta i progressi della tecnologia di stampa 3D. Il Cluster BOBST è un’unità che comprende quattro teste inkjet con un loro sistema di controllo dell’inchiostro, il tutto racchiuso in un design molto compatto. La compattezza non è solo un vantaggio in termini di dimensione, ma garantisce anche che ci siano poche parti in movimento, che gli elementi elementi interni sianoben posizionati e che i cavi e i collegamenti ben organizzati.</w:t>
      </w:r>
    </w:p>
    <w:p w14:paraId="26ED3E77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Questa speciale logica progettuale offre vantaggi davvero unici.</w:t>
      </w:r>
    </w:p>
    <w:p w14:paraId="7682100E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>Meno parti in movimento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, ovviamente, vuol dire meno manutenzione e meno rischi di rottura.  Inoltre elementi interni posizionati in maniera precisa significa un controllo di temperatura più rapido e accurato e linee di distribuzione dei fluidi più brevi (quindi meno perdite termiche ed equalizzazione della pressione)</w:t>
      </w:r>
    </w:p>
    <w:p w14:paraId="76AEDC19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In aggiunta, le 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unità di controllo di inchiostro e temperatura incorporate 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nel Cluster BOBST seguono una regola architettonica molto semplice.  Ciascuna unità è autonoma, e ciascuna testa inkjet viene controllata in un ciclo chiuso separato, con sistemi di controllo di pressione e temperatura individuali.</w:t>
      </w:r>
    </w:p>
    <w:p w14:paraId="2D3EA464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Questo è un cambiamento tecnologico radicale nel mondo dell’inkjet che porta a un controllo totale del getto e a una totale indipendenza della velocità di stampa, della copertura dell’inchiostro o dei livelli di dettaglio del file stampato.</w:t>
      </w:r>
    </w:p>
    <w:p w14:paraId="57356D2A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Il vantaggio principale dato dal controllo dell’inchiostro a una distanza così breve dal getto e a ciclo chiuso è l’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uniformità delle dimensioni delle gocce di inchiostro 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e l’efficienza del sistema nei turni di produzione lunghi.</w:t>
      </w:r>
    </w:p>
    <w:p w14:paraId="37A9C01F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Inoltre garantisce l’eliminazione della nebulizzazione dell’inchiostro, il controllo assoluto della temperatura della testa di stampa e la produzione ininterrotta senza doversi interrompere per la pulizia e il raffreddamento.</w:t>
      </w:r>
    </w:p>
    <w:p w14:paraId="063C3344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La 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connettività 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è un altro principio progettuale cardine per ottenere performance affidabili. Performance basate su analisi di dati e calcoli algoritmici immediati, che portano ad adattamenti immediati e ad un controllo potente. </w:t>
      </w:r>
    </w:p>
    <w:p w14:paraId="4E876E8D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In termini semplici, il sistema del cluster ha un’ 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intelligenza modulare avanzata propria 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che gli consente di riadattarsi dove e quando necessario e, allo stesso tempo, di essere connesso a un sistema centrale e un flusso di dati di immagini ad alta velocità.</w:t>
      </w:r>
    </w:p>
    <w:p w14:paraId="3CA8EF90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lastRenderedPageBreak/>
        <w:t>Il cervello del sistema,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 l’elettronica, è un sistema interamente programmabile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. Il sistema è stato costruito con un approccio di calcolo deterministico, performance scalabili, basso consumo energetico e criteri di sicurezza funzionale.</w:t>
      </w:r>
    </w:p>
    <w:p w14:paraId="37FB4712" w14:textId="77777777" w:rsidR="00C23A17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Gli </w:t>
      </w:r>
      <w:r w:rsidRPr="00C23A17">
        <w:rPr>
          <w:rFonts w:asciiTheme="minorHAnsi" w:eastAsia="Noto Sans" w:hAnsiTheme="minorHAnsi" w:cstheme="minorHAnsi"/>
          <w:b/>
          <w:bCs/>
          <w:sz w:val="20"/>
          <w:szCs w:val="20"/>
          <w:lang w:val="it-IT"/>
        </w:rPr>
        <w:t xml:space="preserve">aggiornamenti </w:t>
      </w: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>e gli adattamenti possono essere effettuati direttamente sulla macchina e persino implementati dai tecnici della teleassistenza, garantendo che la tecnologia mantenga sempre le promesse.</w:t>
      </w:r>
    </w:p>
    <w:p w14:paraId="30082CDC" w14:textId="06E15CC8" w:rsid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 w:rsidRPr="00C23A17">
        <w:rPr>
          <w:rFonts w:asciiTheme="minorHAnsi" w:eastAsia="Noto Sans" w:hAnsiTheme="minorHAnsi" w:cstheme="minorHAnsi"/>
          <w:sz w:val="20"/>
          <w:szCs w:val="20"/>
          <w:lang w:val="it-IT"/>
        </w:rPr>
        <w:t xml:space="preserve">Il cluster BOBST sta portando la stampa inkjet ad un nuovo livello, schiudendo nuovi orizzonti nel settore del packaging. </w:t>
      </w:r>
    </w:p>
    <w:p w14:paraId="6F1D4609" w14:textId="3A169AF5" w:rsidR="00B160AA" w:rsidRPr="00C23A17" w:rsidRDefault="00C23A17" w:rsidP="00C23A17">
      <w:pPr>
        <w:spacing w:after="160" w:line="240" w:lineRule="auto"/>
        <w:rPr>
          <w:rFonts w:asciiTheme="minorHAnsi" w:eastAsia="Noto Sans" w:hAnsiTheme="minorHAnsi" w:cstheme="minorHAnsi"/>
          <w:sz w:val="20"/>
          <w:szCs w:val="20"/>
          <w:lang w:val="it-IT"/>
        </w:rPr>
      </w:pPr>
      <w:r>
        <w:rPr>
          <w:rFonts w:asciiTheme="minorHAnsi" w:eastAsia="Noto Sans" w:hAnsiTheme="minorHAnsi" w:cstheme="minorHAnsi"/>
          <w:sz w:val="20"/>
          <w:szCs w:val="20"/>
          <w:lang w:val="it-IT"/>
        </w:rPr>
        <w:t>./.</w:t>
      </w:r>
    </w:p>
    <w:p w14:paraId="2C68A4F6" w14:textId="65A46D21" w:rsidR="007B2868" w:rsidRPr="006A01D5" w:rsidRDefault="007B2868" w:rsidP="006A01D5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  <w:r w:rsidRPr="006A01D5">
        <w:rPr>
          <w:rFonts w:asciiTheme="minorHAnsi" w:hAnsiTheme="minorHAnsi" w:cstheme="minorHAnsi"/>
          <w:b/>
          <w:bCs/>
          <w:szCs w:val="19"/>
          <w:lang w:val="it-IT"/>
        </w:rPr>
        <w:t>A proposito di BOBST</w:t>
      </w:r>
    </w:p>
    <w:p w14:paraId="6FFB6EB7" w14:textId="77777777" w:rsidR="006A01D5" w:rsidRPr="006A01D5" w:rsidRDefault="006A01D5" w:rsidP="006A01D5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</w:p>
    <w:p w14:paraId="458D4669" w14:textId="77777777" w:rsidR="007B2868" w:rsidRPr="006A01D5" w:rsidRDefault="007B2868" w:rsidP="006A01D5">
      <w:pPr>
        <w:spacing w:line="240" w:lineRule="auto"/>
        <w:rPr>
          <w:rFonts w:asciiTheme="minorHAnsi" w:hAnsiTheme="minorHAnsi" w:cstheme="minorHAnsi"/>
          <w:szCs w:val="19"/>
          <w:lang w:val="it-IT"/>
        </w:rPr>
      </w:pPr>
      <w:r w:rsidRPr="006A01D5">
        <w:rPr>
          <w:rFonts w:asciiTheme="minorHAnsi" w:hAnsiTheme="minorHAnsi" w:cstheme="minorHAnsi"/>
          <w:szCs w:val="19"/>
          <w:lang w:val="it-IT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</w:t>
      </w:r>
    </w:p>
    <w:p w14:paraId="57D30A34" w14:textId="77777777" w:rsidR="007B2868" w:rsidRPr="006A01D5" w:rsidRDefault="007B2868" w:rsidP="006A01D5">
      <w:pPr>
        <w:spacing w:line="240" w:lineRule="auto"/>
        <w:rPr>
          <w:rFonts w:asciiTheme="minorHAnsi" w:hAnsiTheme="minorHAnsi" w:cstheme="minorHAnsi"/>
          <w:szCs w:val="19"/>
          <w:lang w:val="it-IT"/>
        </w:rPr>
      </w:pPr>
    </w:p>
    <w:p w14:paraId="563B417C" w14:textId="77777777" w:rsidR="007B2868" w:rsidRPr="006A01D5" w:rsidRDefault="007B2868" w:rsidP="006A01D5">
      <w:pPr>
        <w:shd w:val="clear" w:color="auto" w:fill="FFFFFF"/>
        <w:spacing w:line="240" w:lineRule="auto"/>
        <w:rPr>
          <w:rFonts w:asciiTheme="minorHAnsi" w:hAnsiTheme="minorHAnsi" w:cstheme="minorHAnsi"/>
          <w:szCs w:val="19"/>
          <w:lang w:val="it-IT" w:eastAsia="fr-FR"/>
        </w:rPr>
      </w:pPr>
      <w:r w:rsidRPr="006A01D5">
        <w:rPr>
          <w:rFonts w:asciiTheme="minorHAnsi" w:hAnsiTheme="minorHAnsi" w:cstheme="minorHAnsi"/>
          <w:szCs w:val="19"/>
          <w:lang w:val="it-IT"/>
        </w:rPr>
        <w:t xml:space="preserve">Fondata nel 1890 da Joseph Bobst a Losanna (Svizzera), BOBST è presente in oltre 50 paesi, possiede 19 stabilimenti produttivi in 11 paesi e impiega oltre 5 800 persone in tutto il mondo. </w:t>
      </w:r>
      <w:r w:rsidRPr="006A01D5">
        <w:rPr>
          <w:rFonts w:asciiTheme="minorHAnsi" w:hAnsiTheme="minorHAnsi" w:cstheme="minorHAnsi"/>
          <w:szCs w:val="19"/>
          <w:lang w:val="it-IT" w:eastAsia="fr-FR"/>
        </w:rPr>
        <w:t xml:space="preserve">Il fatturato consolidato al 31 dicembre </w:t>
      </w:r>
      <w:r w:rsidRPr="006A01D5">
        <w:rPr>
          <w:rFonts w:asciiTheme="minorHAnsi" w:hAnsiTheme="minorHAnsi" w:cstheme="minorHAnsi"/>
          <w:szCs w:val="19"/>
          <w:lang w:val="it-IT"/>
        </w:rPr>
        <w:t xml:space="preserve">2021 </w:t>
      </w:r>
      <w:r w:rsidRPr="006A01D5">
        <w:rPr>
          <w:rFonts w:asciiTheme="minorHAnsi" w:hAnsiTheme="minorHAnsi" w:cstheme="minorHAnsi"/>
          <w:szCs w:val="19"/>
          <w:lang w:val="it-IT" w:eastAsia="fr-FR"/>
        </w:rPr>
        <w:t>si è attestato a CHF 1,563 miliardi.</w:t>
      </w:r>
    </w:p>
    <w:p w14:paraId="5114C765" w14:textId="77777777" w:rsidR="00B160AA" w:rsidRPr="006A01D5" w:rsidRDefault="00B160AA" w:rsidP="006A01D5">
      <w:pPr>
        <w:spacing w:line="240" w:lineRule="auto"/>
        <w:rPr>
          <w:rFonts w:asciiTheme="minorHAnsi" w:eastAsiaTheme="minorHAnsi" w:hAnsiTheme="minorHAnsi" w:cstheme="minorHAnsi"/>
          <w:color w:val="2C2C2C" w:themeColor="text1" w:themeShade="80"/>
          <w:szCs w:val="19"/>
          <w:lang w:val="it-IT" w:eastAsia="en-GB"/>
        </w:rPr>
      </w:pPr>
    </w:p>
    <w:p w14:paraId="186FD5BB" w14:textId="77777777" w:rsidR="00B160AA" w:rsidRPr="006A01D5" w:rsidRDefault="00B160AA" w:rsidP="006A01D5">
      <w:pPr>
        <w:spacing w:line="240" w:lineRule="auto"/>
        <w:rPr>
          <w:rFonts w:asciiTheme="minorHAnsi" w:eastAsiaTheme="minorEastAsia" w:hAnsiTheme="minorHAnsi" w:cstheme="minorHAnsi"/>
          <w:b/>
          <w:color w:val="2C2C2C" w:themeColor="text1" w:themeShade="80"/>
          <w:szCs w:val="19"/>
          <w:lang w:val="it-IT" w:eastAsia="zh-CN"/>
        </w:rPr>
      </w:pPr>
      <w:r w:rsidRPr="006A01D5">
        <w:rPr>
          <w:rFonts w:asciiTheme="minorHAnsi" w:eastAsiaTheme="minorEastAsia" w:hAnsiTheme="minorHAnsi" w:cstheme="minorBidi"/>
          <w:b/>
          <w:color w:val="2C2C2C" w:themeColor="text1" w:themeShade="80"/>
          <w:szCs w:val="19"/>
          <w:lang w:val="it-IT" w:eastAsia="zh-CN"/>
        </w:rPr>
        <w:t>Contatto stampa:</w:t>
      </w:r>
    </w:p>
    <w:p w14:paraId="15672C8B" w14:textId="77777777" w:rsidR="00B160AA" w:rsidRPr="006A01D5" w:rsidRDefault="00B160AA" w:rsidP="006A01D5">
      <w:pPr>
        <w:spacing w:line="240" w:lineRule="auto"/>
        <w:rPr>
          <w:rFonts w:asciiTheme="minorHAnsi" w:eastAsiaTheme="minorEastAsia" w:hAnsiTheme="minorHAnsi" w:cstheme="minorHAnsi"/>
          <w:b/>
          <w:color w:val="2C2C2C" w:themeColor="text1" w:themeShade="80"/>
          <w:szCs w:val="19"/>
          <w:lang w:val="it-IT" w:eastAsia="zh-CN"/>
        </w:rPr>
      </w:pPr>
    </w:p>
    <w:p w14:paraId="3224A085" w14:textId="77777777" w:rsidR="00B160AA" w:rsidRPr="006A01D5" w:rsidRDefault="00B160AA" w:rsidP="006A01D5">
      <w:pPr>
        <w:spacing w:line="240" w:lineRule="auto"/>
        <w:rPr>
          <w:rFonts w:asciiTheme="minorHAnsi" w:hAnsiTheme="minorHAnsi" w:cstheme="minorHAnsi"/>
          <w:color w:val="2C2C2C" w:themeColor="text1" w:themeShade="80"/>
          <w:szCs w:val="19"/>
          <w:lang w:val="it-IT" w:eastAsia="zh-CN"/>
        </w:rPr>
      </w:pPr>
      <w:r w:rsidRPr="006A01D5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t>Gudrun Alex</w:t>
      </w:r>
      <w:r w:rsidRPr="006A01D5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br/>
        <w:t>Rappresentante PR BOBST</w:t>
      </w:r>
    </w:p>
    <w:p w14:paraId="422EE7DB" w14:textId="77777777" w:rsidR="00B160AA" w:rsidRPr="006A01D5" w:rsidRDefault="00B160AA" w:rsidP="006A01D5">
      <w:pPr>
        <w:spacing w:line="240" w:lineRule="auto"/>
        <w:rPr>
          <w:rFonts w:asciiTheme="minorHAnsi" w:hAnsiTheme="minorHAnsi" w:cstheme="minorHAnsi"/>
          <w:color w:val="2C2C2C" w:themeColor="text1" w:themeShade="80"/>
          <w:szCs w:val="19"/>
          <w:lang w:val="en-US" w:eastAsia="zh-CN"/>
        </w:rPr>
      </w:pPr>
      <w:r w:rsidRPr="006A01D5">
        <w:rPr>
          <w:rFonts w:asciiTheme="minorHAnsi" w:eastAsiaTheme="minorEastAsia" w:hAnsiTheme="minorHAnsi" w:cstheme="minorBidi"/>
          <w:color w:val="2C2C2C" w:themeColor="text1" w:themeShade="80"/>
          <w:szCs w:val="19"/>
          <w:lang w:val="en-US" w:eastAsia="zh-CN"/>
        </w:rPr>
        <w:t xml:space="preserve">Tel.: +49 211 58 58 66 66 </w:t>
      </w:r>
    </w:p>
    <w:p w14:paraId="1C8198B9" w14:textId="77777777" w:rsidR="00B160AA" w:rsidRPr="006A01D5" w:rsidRDefault="00B160AA" w:rsidP="006A01D5">
      <w:pPr>
        <w:spacing w:line="240" w:lineRule="auto"/>
        <w:rPr>
          <w:rFonts w:asciiTheme="minorHAnsi" w:hAnsiTheme="minorHAnsi" w:cstheme="minorHAnsi"/>
          <w:color w:val="2C2C2C" w:themeColor="text1" w:themeShade="80"/>
          <w:szCs w:val="19"/>
          <w:lang w:val="en-US" w:eastAsia="zh-CN"/>
        </w:rPr>
      </w:pPr>
      <w:r w:rsidRPr="006A01D5">
        <w:rPr>
          <w:rFonts w:asciiTheme="minorHAnsi" w:eastAsiaTheme="minorEastAsia" w:hAnsiTheme="minorHAnsi" w:cstheme="minorBidi"/>
          <w:color w:val="2C2C2C" w:themeColor="text1" w:themeShade="80"/>
          <w:szCs w:val="19"/>
          <w:lang w:val="en-US" w:eastAsia="zh-CN"/>
        </w:rPr>
        <w:t>Cell.: +49 160 48 41 439</w:t>
      </w:r>
    </w:p>
    <w:p w14:paraId="32CCB4B8" w14:textId="1411D1F1" w:rsidR="00B160AA" w:rsidRPr="006A01D5" w:rsidRDefault="0076137D" w:rsidP="006A01D5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Cs w:val="19"/>
          <w:u w:val="single"/>
          <w:lang w:val="en-US" w:eastAsia="zh-CN"/>
        </w:rPr>
      </w:pPr>
      <w:r w:rsidRPr="006A01D5">
        <w:rPr>
          <w:rFonts w:cs="Arial"/>
          <w:szCs w:val="19"/>
          <w:lang w:val="en-US" w:eastAsia="de-DE"/>
        </w:rPr>
        <w:t xml:space="preserve">Email: </w:t>
      </w:r>
      <w:hyperlink r:id="rId7" w:history="1">
        <w:proofErr w:type="spellStart"/>
        <w:r w:rsidRPr="006A01D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gudrun.alex@bobst.com</w:t>
        </w:r>
        <w:proofErr w:type="spellEnd"/>
      </w:hyperlink>
    </w:p>
    <w:p w14:paraId="723DC391" w14:textId="77777777" w:rsidR="00B160AA" w:rsidRPr="006A01D5" w:rsidRDefault="00B160AA" w:rsidP="006A01D5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Cs w:val="19"/>
          <w:u w:val="single"/>
          <w:lang w:val="en-US" w:eastAsia="de-DE"/>
        </w:rPr>
      </w:pPr>
    </w:p>
    <w:p w14:paraId="468491E1" w14:textId="77777777" w:rsidR="00B160AA" w:rsidRPr="006A01D5" w:rsidRDefault="00B160AA" w:rsidP="006A01D5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Cs w:val="19"/>
          <w:u w:val="single"/>
          <w:lang w:val="en-US" w:eastAsia="de-DE"/>
        </w:rPr>
      </w:pPr>
    </w:p>
    <w:p w14:paraId="66DD367C" w14:textId="77777777" w:rsidR="00B160AA" w:rsidRPr="006A01D5" w:rsidRDefault="00B160AA" w:rsidP="006A01D5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Cs w:val="19"/>
          <w:lang w:val="en-US" w:eastAsia="zh-CN"/>
        </w:rPr>
      </w:pPr>
      <w:proofErr w:type="spellStart"/>
      <w:r w:rsidRPr="006A01D5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>Seguiteci</w:t>
      </w:r>
      <w:proofErr w:type="spellEnd"/>
      <w:r w:rsidRPr="006A01D5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 xml:space="preserve"> </w:t>
      </w:r>
      <w:proofErr w:type="spellStart"/>
      <w:r w:rsidRPr="006A01D5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>su</w:t>
      </w:r>
      <w:proofErr w:type="spellEnd"/>
      <w:r w:rsidRPr="006A01D5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>:</w:t>
      </w:r>
    </w:p>
    <w:p w14:paraId="4F801367" w14:textId="77777777" w:rsidR="00B160AA" w:rsidRPr="006A01D5" w:rsidRDefault="00B160AA" w:rsidP="006A01D5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Cs w:val="19"/>
          <w:lang w:val="en-US" w:eastAsia="zh-CN" w:bidi="th-TH"/>
        </w:rPr>
      </w:pPr>
    </w:p>
    <w:p w14:paraId="475E324D" w14:textId="77777777" w:rsidR="0076137D" w:rsidRPr="006A01D5" w:rsidRDefault="0076137D" w:rsidP="006A01D5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6A01D5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6A01D5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6A01D5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6A01D5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6A01D5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6A01D5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6A01D5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6A01D5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6A01D5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6A01D5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6A01D5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FC0AD49" w14:textId="3F6FBAB4" w:rsidR="0076137D" w:rsidRPr="00E960DE" w:rsidRDefault="0076137D" w:rsidP="006A01D5">
      <w:pPr>
        <w:spacing w:line="240" w:lineRule="auto"/>
        <w:rPr>
          <w:rFonts w:cs="Arial"/>
          <w:szCs w:val="19"/>
          <w:lang w:eastAsia="de-DE"/>
        </w:rPr>
      </w:pPr>
    </w:p>
    <w:p w14:paraId="512D3E97" w14:textId="77777777" w:rsidR="00B160AA" w:rsidRPr="006A01D5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4FC715AC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23975A20" w14:textId="77777777" w:rsidR="00B160AA" w:rsidRPr="00B160AA" w:rsidRDefault="00B160AA" w:rsidP="00B160AA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eastAsia="zh-CN" w:bidi="th-TH"/>
        </w:rPr>
      </w:pPr>
    </w:p>
    <w:p w14:paraId="3A06E392" w14:textId="00695406" w:rsidR="00022041" w:rsidRPr="00E53A84" w:rsidRDefault="00022041" w:rsidP="00B160AA">
      <w:pPr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E53A84" w:rsidSect="004852ED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D6F2" w14:textId="77777777" w:rsidR="003D4609" w:rsidRDefault="003D4609" w:rsidP="00BB5BE9">
      <w:pPr>
        <w:spacing w:line="240" w:lineRule="auto"/>
      </w:pPr>
      <w:r>
        <w:separator/>
      </w:r>
    </w:p>
  </w:endnote>
  <w:endnote w:type="continuationSeparator" w:id="0">
    <w:p w14:paraId="7942FD14" w14:textId="77777777" w:rsidR="003D4609" w:rsidRDefault="003D460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7EC3" w14:textId="29645F93" w:rsidR="00546823" w:rsidRPr="004852ED" w:rsidRDefault="004852ED" w:rsidP="00F36CF1">
    <w:pPr>
      <w:pStyle w:val="Footer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Footer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EndPr/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EndPr/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r w:rsidRPr="00D5680F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1D68" w14:textId="77777777" w:rsidR="003D4609" w:rsidRDefault="003D4609" w:rsidP="00BB5BE9">
      <w:pPr>
        <w:spacing w:line="240" w:lineRule="auto"/>
      </w:pPr>
      <w:r>
        <w:separator/>
      </w:r>
    </w:p>
  </w:footnote>
  <w:footnote w:type="continuationSeparator" w:id="0">
    <w:p w14:paraId="4DEDB2FA" w14:textId="77777777" w:rsidR="003D4609" w:rsidRDefault="003D460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48DF" w14:textId="77777777" w:rsidR="00BB5BE9" w:rsidRPr="003E5180" w:rsidRDefault="003D4609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0D44" w14:textId="77777777" w:rsidR="00F36CF1" w:rsidRPr="003E5180" w:rsidRDefault="003D460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450337">
    <w:abstractNumId w:val="9"/>
  </w:num>
  <w:num w:numId="2" w16cid:durableId="1272863634">
    <w:abstractNumId w:val="7"/>
  </w:num>
  <w:num w:numId="3" w16cid:durableId="1506553792">
    <w:abstractNumId w:val="6"/>
  </w:num>
  <w:num w:numId="4" w16cid:durableId="1399749726">
    <w:abstractNumId w:val="5"/>
  </w:num>
  <w:num w:numId="5" w16cid:durableId="1186555459">
    <w:abstractNumId w:val="4"/>
  </w:num>
  <w:num w:numId="6" w16cid:durableId="1997302422">
    <w:abstractNumId w:val="8"/>
  </w:num>
  <w:num w:numId="7" w16cid:durableId="809859154">
    <w:abstractNumId w:val="3"/>
  </w:num>
  <w:num w:numId="8" w16cid:durableId="2092699946">
    <w:abstractNumId w:val="2"/>
  </w:num>
  <w:num w:numId="9" w16cid:durableId="38629081">
    <w:abstractNumId w:val="1"/>
  </w:num>
  <w:num w:numId="10" w16cid:durableId="1290476641">
    <w:abstractNumId w:val="0"/>
  </w:num>
  <w:num w:numId="11" w16cid:durableId="1206330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43F57"/>
    <w:rsid w:val="000A7665"/>
    <w:rsid w:val="000C1D0E"/>
    <w:rsid w:val="000E1D4D"/>
    <w:rsid w:val="000F06CC"/>
    <w:rsid w:val="00162F04"/>
    <w:rsid w:val="00165731"/>
    <w:rsid w:val="00185617"/>
    <w:rsid w:val="00193DE7"/>
    <w:rsid w:val="0027064C"/>
    <w:rsid w:val="002F47FE"/>
    <w:rsid w:val="00310503"/>
    <w:rsid w:val="003351F5"/>
    <w:rsid w:val="003A29C4"/>
    <w:rsid w:val="003D4609"/>
    <w:rsid w:val="003E5180"/>
    <w:rsid w:val="004038E7"/>
    <w:rsid w:val="00441DD3"/>
    <w:rsid w:val="00481EA9"/>
    <w:rsid w:val="004852ED"/>
    <w:rsid w:val="004C01C1"/>
    <w:rsid w:val="004C2489"/>
    <w:rsid w:val="004F3549"/>
    <w:rsid w:val="0050581D"/>
    <w:rsid w:val="00516B12"/>
    <w:rsid w:val="00546823"/>
    <w:rsid w:val="00573DCA"/>
    <w:rsid w:val="005A48B2"/>
    <w:rsid w:val="005E0E2E"/>
    <w:rsid w:val="006541EB"/>
    <w:rsid w:val="006A01D5"/>
    <w:rsid w:val="006A45F6"/>
    <w:rsid w:val="006C3613"/>
    <w:rsid w:val="006E12E7"/>
    <w:rsid w:val="006F0B12"/>
    <w:rsid w:val="006F0CCC"/>
    <w:rsid w:val="006F5741"/>
    <w:rsid w:val="0076137D"/>
    <w:rsid w:val="007670E8"/>
    <w:rsid w:val="007B2868"/>
    <w:rsid w:val="00832DE0"/>
    <w:rsid w:val="008B5EF4"/>
    <w:rsid w:val="008D353F"/>
    <w:rsid w:val="008F266B"/>
    <w:rsid w:val="009334C9"/>
    <w:rsid w:val="009A0420"/>
    <w:rsid w:val="009A42B7"/>
    <w:rsid w:val="009D55C0"/>
    <w:rsid w:val="009D707C"/>
    <w:rsid w:val="009E6CF2"/>
    <w:rsid w:val="009E7F29"/>
    <w:rsid w:val="00A131E9"/>
    <w:rsid w:val="00AB644E"/>
    <w:rsid w:val="00B160AA"/>
    <w:rsid w:val="00BB5BE9"/>
    <w:rsid w:val="00BC2406"/>
    <w:rsid w:val="00BC6392"/>
    <w:rsid w:val="00BF6A8D"/>
    <w:rsid w:val="00C20D00"/>
    <w:rsid w:val="00C23A17"/>
    <w:rsid w:val="00C24262"/>
    <w:rsid w:val="00C55A5E"/>
    <w:rsid w:val="00C70EAA"/>
    <w:rsid w:val="00CB3413"/>
    <w:rsid w:val="00CC7F9D"/>
    <w:rsid w:val="00D33D04"/>
    <w:rsid w:val="00D5680F"/>
    <w:rsid w:val="00D734CE"/>
    <w:rsid w:val="00DB1DC2"/>
    <w:rsid w:val="00DE5DD2"/>
    <w:rsid w:val="00E0622A"/>
    <w:rsid w:val="00E53A84"/>
    <w:rsid w:val="00E71828"/>
    <w:rsid w:val="00EE17E7"/>
    <w:rsid w:val="00F03D8B"/>
    <w:rsid w:val="00F36CF1"/>
    <w:rsid w:val="00F70BCE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IT_28500</Template>
  <TotalTime>6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2022-06-01T09:22:00Z</dcterms:created>
  <dcterms:modified xsi:type="dcterms:W3CDTF">2022-06-02T11:56:00Z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